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r>
    </w:p>
    <w:tbl>
      <w:tblPr>
        <w:tblW w:w="11876.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573.6082474226803"/>
        <w:gridCol w:w="10302.680412371134"/>
        <w:gridCol w:w="-4"/>
        <w:gridCol w:w="-4"/>
      </w:tblGrid>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db</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I wanted to take Seiter’s pessimism a step further (hurray!) and refer back to Burrell’s observations on Ghanaians experiencing prejudice on the Internet. Even if this “digital divide” were bridged (and Burrell complicates Seiter’s depiction of the DD in this article: </w:t>
            </w:r>
            <w:hyperlink r:id="rId5">
              <w:r w:rsidRPr="00000000" w:rsidR="00000000" w:rsidDel="00000000">
                <w:rPr>
                  <w:color w:val="1155cc"/>
                  <w:highlight w:val="none"/>
                  <w:u w:val="single"/>
                  <w:rtl w:val="0"/>
                </w:rPr>
                <w:t xml:space="preserve">http://blogs.berkeley.edu/2012/10/08/is-the-digital-divide-a-defunct-framework/</w:t>
              </w:r>
            </w:hyperlink>
            <w:r w:rsidRPr="00000000" w:rsidR="00000000" w:rsidDel="00000000">
              <w:rPr>
                <w:highlight w:val="none"/>
                <w:rtl w:val="0"/>
              </w:rPr>
              <w:t xml:space="preserve">) exclusionary online subcultures could take the “distinction” a step further. Beyond just literacy of the computer, or even the informal competencies necessary for obtaining a career in a “cool job,” marginalized users may simply not “fit in” with the culture they find on the Internet.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So, what if we were to radically reconceptualize our access to networks? Keep technical interoperability, but give priority to local networks or create services that privilege geographic proximity. See: </w:t>
            </w:r>
            <w:hyperlink r:id="rId6">
              <w:r w:rsidRPr="00000000" w:rsidR="00000000" w:rsidDel="00000000">
                <w:rPr>
                  <w:color w:val="1155cc"/>
                  <w:highlight w:val="none"/>
                  <w:u w:val="single"/>
                  <w:rtl w:val="0"/>
                </w:rPr>
                <w:t xml:space="preserve">http://thesocietypages.org/cyborgology/2012/09/13/revisiting-the-clock-tower-scaling-technology/</w:t>
              </w:r>
            </w:hyperlink>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Specific quote: </w:t>
            </w:r>
          </w:p>
          <w:p w:rsidP="00000000" w:rsidRPr="00000000" w:rsidR="00000000" w:rsidDel="00000000" w:rsidRDefault="00000000">
            <w:pPr>
              <w:spacing w:lineRule="auto" w:after="0" w:line="240" w:before="0"/>
            </w:pPr>
            <w:r w:rsidRPr="00000000" w:rsidR="00000000" w:rsidDel="00000000">
              <w:rPr>
                <w:highlight w:val="none"/>
                <w:rtl w:val="0"/>
              </w:rPr>
              <w:t xml:space="preserve">“</w:t>
            </w:r>
            <w:r w:rsidRPr="00000000" w:rsidR="00000000" w:rsidDel="00000000">
              <w:rPr>
                <w:rFonts w:cs="Verdana" w:hAnsi="Verdana" w:eastAsia="Verdana" w:ascii="Verdana"/>
                <w:color w:val="444444"/>
                <w:sz w:val="18"/>
                <w:highlight w:val="white"/>
                <w:rtl w:val="0"/>
              </w:rPr>
              <w:t xml:space="preserve">I am interested in using local networks to enhance the communitarian aspects of shared hardware and software. For example, would if one’s online experience was colored and mediated not by an individual’s device, but by the community within which they live? What would the network architecture look like? What would social networking look like? Would we begin to see local flavors of Internet culture? Would these local networks become the basis for community dispute resolution, or the sites of time-shifted farmers markets? Of course, all of these things can be done today, on our individualist, location-agnostic Internet, but a thoroughly communitarian Internet would make these sorts of applications obvious and primary. The best way to describe this is through a very simple example: Imagine being excited to see what the Internet looks and feels like in a new town.”</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Dan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ab/>
              <w:t xml:space="preserve">Having spent two years working in middle school classrooms (A year in a science class and a year in a math class) the Gutstein and Terry articles were very productive for me to reflect on. In each, the difficult task of recreating math as a site of social justice was a goal of doing the work and not just a spill over effect of the standard curriculum. In such, it dodges the sort of 'more knowledge, more power, more freedom' chanting that seems to go on when people don't reflect that specific knowledges provide the platform to do particular kinds of work.</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ab/>
              <w:t xml:space="preserve">In the case of Gutein, he is trying to use a contextually oriented math in order to get students to first, learn to 'read the world' (taken from Pablo Frere), develop agency and then develop the ability to rewrite the world to their desire. To aid in that, he points us to notice that "</w:t>
            </w:r>
            <w:r w:rsidRPr="00000000" w:rsidR="00000000" w:rsidDel="00000000">
              <w:rPr>
                <w:b w:val="1"/>
                <w:highlight w:val="none"/>
                <w:rtl w:val="0"/>
              </w:rPr>
              <w:t xml:space="preserve">Teachers can promote more equitable classrooms by helping students explicitly and consciously use mathematics itself as a tool to understand and analyze the injustices in society</w:t>
            </w:r>
            <w:r w:rsidRPr="00000000" w:rsidR="00000000" w:rsidDel="00000000">
              <w:rPr>
                <w:highlight w:val="none"/>
                <w:rtl w:val="0"/>
              </w:rPr>
              <w:t xml:space="preserve">" (p.69) To take a cue from David, I also want to bring Burrell to bear here, but I instead want to talk about the material relationships of the classroom environment to crating that equitable space for math. What are practical resources to use? If part of the inequalities of the situation is that one person demonstrates while everyone else is forced to watch, are we better served investing in combining low tech 'mobile' solutions (small whiteboards, for example) with the smart boards and projectors we have to cross these hurdles? And what do we make of the fact that Gutstein points out one of the problems that I think holds the most potential, but also the most danger- "</w:t>
            </w:r>
            <w:r w:rsidRPr="00000000" w:rsidR="00000000" w:rsidDel="00000000">
              <w:rPr>
                <w:b w:val="1"/>
                <w:highlight w:val="none"/>
                <w:rtl w:val="0"/>
              </w:rPr>
              <w:t xml:space="preserve">educational practices that involve students in discussions and actions that critique sources of knowledge, question institutional practices, and run counter to norms and power structures within society are potentially problematic and can threaten schools and authority</w:t>
            </w:r>
            <w:r w:rsidRPr="00000000" w:rsidR="00000000" w:rsidDel="00000000">
              <w:rPr>
                <w:highlight w:val="none"/>
                <w:rtl w:val="0"/>
              </w:rPr>
              <w:t xml:space="preserve">" (p. 41)</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ab/>
              <w:t xml:space="preserve">I find that in both Terry and Gutstein, there is a recognition that part of the job of the educator is, as cited by Gutstien in Landon-Billings, "</w:t>
            </w:r>
            <w:r w:rsidRPr="00000000" w:rsidR="00000000" w:rsidDel="00000000">
              <w:rPr>
                <w:b w:val="1"/>
                <w:highlight w:val="none"/>
                <w:rtl w:val="0"/>
              </w:rPr>
              <w:t xml:space="preserve">Struggle successfully against oppression</w:t>
            </w:r>
            <w:r w:rsidRPr="00000000" w:rsidR="00000000" w:rsidDel="00000000">
              <w:rPr>
                <w:highlight w:val="none"/>
                <w:rtl w:val="0"/>
              </w:rPr>
              <w:t xml:space="preserve">" (p.40). The counterstory in Terry seems to reflect this, but immediately I start to wonder about ways we can make that struggle against authority work in a way that preserves it for the students we work for, without being short circuited by the institution's focus on keeping authority with the teachers. I think of the </w:t>
            </w:r>
            <w:hyperlink r:id="rId7">
              <w:r w:rsidRPr="00000000" w:rsidR="00000000" w:rsidDel="00000000">
                <w:rPr>
                  <w:color w:val="1155cc"/>
                  <w:highlight w:val="none"/>
                  <w:u w:val="single"/>
                  <w:rtl w:val="0"/>
                </w:rPr>
                <w:t xml:space="preserve">Texas Republican's Platform's explicit stance</w:t>
              </w:r>
            </w:hyperlink>
            <w:r w:rsidRPr="00000000" w:rsidR="00000000" w:rsidDel="00000000">
              <w:rPr>
                <w:highlight w:val="none"/>
                <w:rtl w:val="0"/>
              </w:rPr>
              <w:t xml:space="preserve"> that "</w:t>
            </w:r>
            <w:r w:rsidRPr="00000000" w:rsidR="00000000" w:rsidDel="00000000">
              <w:rPr>
                <w:b w:val="1"/>
                <w:highlight w:val="none"/>
                <w:rtl w:val="0"/>
              </w:rPr>
              <w:t xml:space="preserve">Knowledge-Based Education – We oppose the teaching of Higher Order Thinking Skills (HOTS) (values clarification), critical thinking skills and similar programs that are simply a relabeling of Outcome-Based Education (OBE) (mastery learning) which focus on behavior modification and have the purpose of challenging the student’s fixed beliefs and undermining parental authority.</w:t>
            </w:r>
            <w:r w:rsidRPr="00000000" w:rsidR="00000000" w:rsidDel="00000000">
              <w:rPr>
                <w:highlight w:val="none"/>
                <w:rtl w:val="0"/>
              </w:rPr>
              <w:t xml:space="preserve">" And while this might be an extreme example, I think that there is a move to maintain certain kinds of authority in the classroom that may be prescribed as a threat to teachers in the classroom. Where do we go about transforming them?</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Michael </w:t>
            </w:r>
          </w:p>
        </w:tc>
        <w:tc>
          <w:tcPr>
            <w:tcMar>
              <w:top w:w="100.0" w:type="dxa"/>
              <w:left w:w="100.0" w:type="dxa"/>
              <w:bottom w:w="100.0" w:type="dxa"/>
              <w:right w:w="100.0" w:type="dxa"/>
            </w:tcMar>
          </w:tcPr>
          <w:p w:rsidP="00000000" w:rsidRPr="00000000" w:rsidR="00000000" w:rsidDel="00000000" w:rsidRDefault="00000000">
            <w:pPr/>
            <w:r w:rsidRPr="00000000" w:rsidR="00000000" w:rsidDel="00000000">
              <w:rPr>
                <w:sz w:val="24"/>
                <w:highlight w:val="none"/>
                <w:rtl w:val="0"/>
              </w:rPr>
              <w:t xml:space="preserve">How can we use game literacies, ludoliteracy, to help students read the world? Both video games, RPGs, cards, etc. D and D has literacies of its own. </w:t>
            </w:r>
            <w:hyperlink r:id="rId8">
              <w:r w:rsidRPr="00000000" w:rsidR="00000000" w:rsidDel="00000000">
                <w:rPr>
                  <w:color w:val="1155cc"/>
                  <w:sz w:val="24"/>
                  <w:highlight w:val="none"/>
                  <w:u w:val="single"/>
                  <w:rtl w:val="0"/>
                </w:rPr>
                <w:t xml:space="preserve">http://www.youtube.com/watch?v=LNfPdaKYOPI</w:t>
              </w:r>
            </w:hyperlink>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drawing>
                <wp:inline>
                  <wp:extent cy="1390650" cx="933450"/>
                  <wp:docPr id="1" name="image00.jpg"/>
                  <a:graphic>
                    <a:graphicData uri="http://schemas.openxmlformats.org/drawingml/2006/picture">
                      <pic:pic>
                        <pic:nvPicPr>
                          <pic:cNvPr id="0" name="image00.jpg"/>
                          <pic:cNvPicPr preferRelativeResize="0"/>
                        </pic:nvPicPr>
                        <pic:blipFill>
                          <a:blip r:embed="rId9"/>
                          <a:stretch>
                            <a:fillRect/>
                          </a:stretch>
                        </pic:blipFill>
                        <pic:spPr>
                          <a:xfrm>
                            <a:ext cy="1390650" cx="933450"/>
                          </a:xfrm>
                          <a:prstGeom prst="rect"/>
                        </pic:spPr>
                      </pic:pic>
                    </a:graphicData>
                  </a:graphic>
                </wp:inline>
              </w:drawing>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sz w:val="24"/>
                <w:highlight w:val="none"/>
                <w:rtl w:val="0"/>
              </w:rPr>
              <w:t xml:space="preserve">...understanding and acting on one’s surroundings, can be referred to as learning to “read the world” (Freire &amp; Macedo, 1987). Seiter’s call for a pedagogy of production and political economy mixed with the CRT’s approach to counterstories, I would argue fulfills a Freirean commitment.  </w:t>
            </w:r>
          </w:p>
          <w:p w:rsidP="00000000" w:rsidRPr="00000000" w:rsidR="00000000" w:rsidDel="00000000" w:rsidRDefault="0000000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Ellen Seiter’s piece on the corporate, top-down model of digital literacy acquisition was particularly salient to my previous work in media literacy outreach. From 2010-2012 I was, in part, employed under a Gates Foundation grant. In particular, Gates funded my time and investment in facilitating learning through, teaching about, and critiquing the online social learning network, iRemix (http://www.hackeducation.com/2011/04/27/gates-foundation-invests-20-million-in-digital-courses-game-based-learning/). In addition, the enthusiasm around a badge system of alternative accreditation came out of collaborative efforts between MacArthur and Gates foundations and Mozilla (http://dmlcompetition.net/Competition/4/winners-teachers-competition.php). These institutions shape the direction of media education through grant cycles. Thinking about this in terms of the end of Seiter’s article when she quotes R. Williams (49), it may be important for critical media educators to closely examine the underlying values that are embedded in these top-down pedagogical trajectories. Seiter argues that,</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color w:val="141413"/>
                <w:sz w:val="24"/>
                <w:highlight w:val="none"/>
                <w:rtl w:val="0"/>
              </w:rPr>
              <w:t xml:space="preserve">We need to develop an ideal of strong digital literacy that would encompass both the capacity to author in ways that might impact civil society and an understanding of the political economy of new media that includes not only challenges to intellectual property and copyright, but also an analysis of wealth distribution and the potential for exploitation in labor involving computers (49).</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I think the challenge here is how to develop these types of exercises across curriculum and age groups that unifies the production of media and specific political economy lessons. I wonder how Clarence Terry’s outline of counter stories from CRT would be helpful for accomplishing this goal? Using the criteria of couterstories (28) that Terry lays out may help us develop a way to continue producing and/or remixing narratives that are about, commons on, or overtly critical of the political economy. As counterstories must be produced through a dialectical relationship between dominant and non dominant narratives, counterstories in digital literacy education can take the form of fiction or non-fiction. In either case the dominant narrative must be identified first, followed by a researched counter narrative, which leads to framing some type of libratory potential. The narrative of production itself becomes, in a sense, a counterstory in itself. I imagine that we could draw on the math examples to find statistics of minority use or “mis-use” of the Internet (“minorities use the internet in wrong ways”), and challenge that narrative after research, with a counterstory, what are the real numbers behind these mis-usings?  How do we then figure out how that story can be enacted to further social justice or the local community?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Dan----&gt; Would this be a media Production Counterstory? Banksy Simpson Opening- http://www.youtube.com/watch?v=DX1iplQQJTo&amp;sns=em</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Colin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I found Seiter’s piece an interesting, if ultimately flawed, attempt to further problematize the widespread conception of technology-as-educational-panacea. I think the basic question she’s trying to ask, “How is knowledge of digital media converted into educational advantage?” is a good one, but I think her conclusion, (that, more or less, it’s not) is as ridiculous as her extended analogy. I’m not convinced a computer is like a Steinway piano.</w:t>
            </w:r>
          </w:p>
          <w:p w:rsidP="00000000" w:rsidRPr="00000000" w:rsidR="00000000" w:rsidDel="00000000" w:rsidRDefault="00000000">
            <w:pPr>
              <w:spacing w:lineRule="auto" w:after="0" w:line="240" w:before="0"/>
            </w:pPr>
            <w:r w:rsidRPr="00000000" w:rsidR="00000000" w:rsidDel="00000000">
              <w:rPr>
                <w:highlight w:val="none"/>
                <w:rtl w:val="0"/>
              </w:rPr>
              <w:t xml:space="preserve">      She argues that “no school board would decide to purchase a Steinway for every student as a means of enriching the overall achievement of students …” – and we’re supposed to ‘get it’ and realize how ill-conceived it is that school boards buy kids </w:t>
            </w:r>
            <w:r w:rsidRPr="00000000" w:rsidR="00000000" w:rsidDel="00000000">
              <w:rPr>
                <w:i w:val="1"/>
                <w:highlight w:val="none"/>
                <w:rtl w:val="0"/>
              </w:rPr>
              <w:t xml:space="preserve">any computers</w:t>
            </w:r>
            <w:r w:rsidRPr="00000000" w:rsidR="00000000" w:rsidDel="00000000">
              <w:rPr>
                <w:highlight w:val="none"/>
                <w:rtl w:val="0"/>
              </w:rPr>
              <w:t xml:space="preserve">? She even claims that laptops end up being more expensive than Steinways – not true (the cheapest Steinway I could find online way $6800, enough for several laptop upgrades over the course of a students lifetime). She concludes, “Computers might seem more necessary to modern life than the piano, but the costs of rewriting the curriculum to accommodate them are as yet uncalculated.” Yes, the costs of incorporating any fundamentally new technology are </w:t>
            </w:r>
            <w:r w:rsidRPr="00000000" w:rsidR="00000000" w:rsidDel="00000000">
              <w:rPr>
                <w:i w:val="1"/>
                <w:highlight w:val="none"/>
                <w:rtl w:val="0"/>
              </w:rPr>
              <w:t xml:space="preserve">always uncalculated</w:t>
            </w:r>
            <w:r w:rsidRPr="00000000" w:rsidR="00000000" w:rsidDel="00000000">
              <w:rPr>
                <w:highlight w:val="none"/>
                <w:rtl w:val="0"/>
              </w:rPr>
              <w:t xml:space="preserve">. Furthermore, this displays a weird faith in “the curriculum,” as if these kids just stuck to their books they’d be better off without having touched the devil machines.</w:t>
            </w:r>
          </w:p>
          <w:p w:rsidP="00000000" w:rsidRPr="00000000" w:rsidR="00000000" w:rsidDel="00000000" w:rsidRDefault="00000000">
            <w:pPr>
              <w:spacing w:lineRule="auto" w:after="0" w:line="240" w:before="0"/>
            </w:pPr>
            <w:r w:rsidRPr="00000000" w:rsidR="00000000" w:rsidDel="00000000">
              <w:rPr>
                <w:highlight w:val="none"/>
                <w:rtl w:val="0"/>
              </w:rPr>
              <w:t xml:space="preserve">Also, as someone who scrounged for used computer parts throughout my teen years (as part of the “invisible minority” called “poor white trash” – though we white folks are rarely written about so sympathetically as Seiter has done here), I resented her implication that the only thing poor people can do with used parts is throw them away – rather that they should just throw them away, because while goofing off on a big ol’ piano can be fun for the poor, “old computers are simply frustrating.” Well, yes and no. Learning arithmetic is also “simply frustrating,” but is that a reason to…? Her “misunderestimation” (GWB) of the poor as “those who cannot help themselves” is itself, simply frustrating.</w:t>
            </w:r>
          </w:p>
          <w:p w:rsidP="00000000" w:rsidRPr="00000000" w:rsidR="00000000" w:rsidDel="00000000" w:rsidRDefault="00000000">
            <w:pPr>
              <w:spacing w:lineRule="auto" w:after="0" w:line="240" w:before="0"/>
            </w:pPr>
            <w:r w:rsidRPr="00000000" w:rsidR="00000000" w:rsidDel="00000000">
              <w:rPr>
                <w:highlight w:val="none"/>
                <w:rtl w:val="0"/>
              </w:rPr>
              <w:t xml:space="preserve">        Her story about the two boys also confused me. She argued in the beginning of the piece that fooling around on MySpace is essentially the same as learning to play Bach, because both require many dozens of hours of unfettered access for one to become proficient. I had huge problems with this, despite the “postmodern” leveling of high- and low-art going on. It is true to say that “to play the piano requires practice,” but is it equally true to say of MySpace, “Similarly, if software programs (and games) are not mastered to a level where the interface, the shortcuts, and the keystrokes become second nature, the process is too cumbersome and tedious to expect children to even use”? Obviously not. This proclamation bars all beginners from using MySpace by fiat. It’s like the creationist argument, “The eye can never have evolved because half an eye is no good,” – the obvious retort being, “Half an eye is better than no eye.” Kids who do not know the interface clearly must spend the requisite hours on the site despite the lack of having internalized the interface – because if they didn’t, there wouldn’t be an article for her to write. So then she told us a story about two boys who, when given the kind of access that allowed the kind of skill building “nearly impossible to practice in a public school computer lab,” both failed to capitalize on it, nearly flunked out. Clearly access alone is not enough to turn you into CyberBach, but I think that makes a strawman out of the digerati who push for this kind of technocentric school. The problem is that they take </w:t>
            </w:r>
            <w:r w:rsidRPr="00000000" w:rsidR="00000000" w:rsidDel="00000000">
              <w:rPr>
                <w:i w:val="1"/>
                <w:highlight w:val="none"/>
                <w:rtl w:val="0"/>
              </w:rPr>
              <w:t xml:space="preserve">as given</w:t>
            </w:r>
            <w:r w:rsidRPr="00000000" w:rsidR="00000000" w:rsidDel="00000000">
              <w:rPr>
                <w:highlight w:val="none"/>
                <w:rtl w:val="0"/>
              </w:rPr>
              <w:t xml:space="preserve"> that there will be apt instruction available to accompany that computer access and transform young rapscallions into neoBachs. So instead of blaming a completely new model of school for the fact that two random boys almost failed, we should condemn a school that allowed these two jerks to squander their time on … MySpace and videogames.</w:t>
            </w:r>
          </w:p>
          <w:p w:rsidP="00000000" w:rsidRPr="00000000" w:rsidR="00000000" w:rsidDel="00000000" w:rsidRDefault="00000000">
            <w:pPr>
              <w:spacing w:lineRule="auto" w:after="0" w:line="240" w:before="0"/>
            </w:pPr>
            <w:r w:rsidRPr="00000000" w:rsidR="00000000" w:rsidDel="00000000">
              <w:rPr>
                <w:highlight w:val="none"/>
                <w:rtl w:val="0"/>
              </w:rPr>
              <w:t xml:space="preserve">       The comparison of a Steinway piano to a computer (notice the “computer” is rather unspecified and seems to harken back to the days of the room-filling ENIACs) is interesting as far as her analysis of how it functions in relation to cultural capital goes, but no farther. There is a fundamental difference between the two: the piano is an analog, or </w:t>
            </w:r>
            <w:r w:rsidRPr="00000000" w:rsidR="00000000" w:rsidDel="00000000">
              <w:rPr>
                <w:i w:val="1"/>
                <w:highlight w:val="none"/>
                <w:rtl w:val="0"/>
              </w:rPr>
              <w:t xml:space="preserve">purpose-built</w:t>
            </w:r>
            <w:r w:rsidRPr="00000000" w:rsidR="00000000" w:rsidDel="00000000">
              <w:rPr>
                <w:highlight w:val="none"/>
                <w:rtl w:val="0"/>
              </w:rPr>
              <w:t xml:space="preserve"> device; the computer is a digital device, a universal machine. The former can do one thing; the latter: emulate any instrument you desire. These are fundamentally different types of machine. Furthermore, modern computers eliminate any comparison based on size, leaving only “cultural capital” as common ground between the two – and I’m not sure even that sticks. Maybe if almost every job in the developed world </w:t>
            </w:r>
            <w:r w:rsidRPr="00000000" w:rsidR="00000000" w:rsidDel="00000000">
              <w:rPr>
                <w:i w:val="1"/>
                <w:highlight w:val="none"/>
                <w:rtl w:val="0"/>
              </w:rPr>
              <w:t xml:space="preserve">didn’t require computer skills</w:t>
            </w:r>
            <w:r w:rsidRPr="00000000" w:rsidR="00000000" w:rsidDel="00000000">
              <w:rPr>
                <w:highlight w:val="none"/>
                <w:rtl w:val="0"/>
              </w:rPr>
              <w:t xml:space="preserve">, we could say that computers are actually about as relevant as Steinway pianos. But they do. Sure, we are only fooling ourselves if we assume that mere access to computers is going to turn bad kids who play D &amp; D good, but to paint access to computers, even when overemphasized by digital elites, as the </w:t>
            </w:r>
            <w:r w:rsidRPr="00000000" w:rsidR="00000000" w:rsidDel="00000000">
              <w:rPr>
                <w:i w:val="1"/>
                <w:highlight w:val="none"/>
                <w:rtl w:val="0"/>
              </w:rPr>
              <w:t xml:space="preserve">problem</w:t>
            </w:r>
            <w:r w:rsidRPr="00000000" w:rsidR="00000000" w:rsidDel="00000000">
              <w:rPr>
                <w:highlight w:val="none"/>
                <w:rtl w:val="0"/>
              </w:rPr>
              <w:t xml:space="preserve">, is not a solution.</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Also could we think through some counter-stories, i.e. make some up? It wasn’t clicking for me.</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Ellen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I found Terry and Gutstein’s pieces that related work within classrooms to be relevant toward thinking about being in the classroom for GK-12. Especially in the context of </w:t>
            </w:r>
            <w:r w:rsidRPr="00000000" w:rsidR="00000000" w:rsidDel="00000000">
              <w:rPr>
                <w:i w:val="1"/>
                <w:highlight w:val="none"/>
                <w:rtl w:val="0"/>
              </w:rPr>
              <w:t xml:space="preserve">reading the world</w:t>
            </w:r>
            <w:r w:rsidRPr="00000000" w:rsidR="00000000" w:rsidDel="00000000">
              <w:rPr>
                <w:highlight w:val="none"/>
                <w:rtl w:val="0"/>
              </w:rPr>
              <w:t xml:space="preserve"> through mathematics and creating analyses that have social-political and social justice implications. The method of counterstory-telling as a tool for using mathematics to the read the world was fairly helpful in framing how this might be done.</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I think a really important part of this was not just lecturing at the students, but creating an environment of increased participation, interaction, as well as a back-and-forth learning environment for the student-teacher relationship. There is much to learn from the kids and their experiences as well. As I have been witnessing in the classroom, this appears increasingly difficult as students are constantly pre- &amp; post- tested on material and the teachers feel a need to constantly review and then hurry through course material to ensure students do well on testing that may reflect how the school looks in the light of the district and distribution of funding. This seems to result in the dumbing down of material, or trying to spoon-feed ideas and information to the students with much less emphasis on challenging them to think differently or further about a topic. So often critical thinking gets lost in the mix and instead it becomes ‘this is how the world works, these are facts, accept them.’ There is also little done to relate said facts or “workings of the world” to everyday life, try as hard as teachers might.</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rFonts w:cs="Times New Roman" w:hAnsi="Times New Roman" w:eastAsia="Times New Roman" w:ascii="Times New Roman"/>
                <w:sz w:val="24"/>
                <w:highlight w:val="none"/>
                <w:rtl w:val="0"/>
              </w:rPr>
              <w:t xml:space="preserve">The moment where the students utilized triangles in a different pattern than what the one teacher in Eglash’s piece about CSDT’s stands out for me particularly when thinking about what students bring to the learning experience and that the classroom can be a two-way street of learning as opposed to the one-way lecture and recitation atmosphere. Letting the students direct their own learning at times, and discover certain concepts for themselves is incredibly fruitful, but I can imagine it is a hard method to completely grasp and utilize in a productive manner. Or is it? </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Pedro</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This week’s articles do a good job at challenging many of the assumptions made by policymakers about what education (and “educational justice”) can and should look like. If these articles constituted a single counterstory, the dominant narrative would be something like:</w:t>
            </w:r>
          </w:p>
          <w:p w:rsidP="00000000" w:rsidRPr="00000000" w:rsidR="00000000" w:rsidDel="00000000" w:rsidRDefault="00000000">
            <w:pPr>
              <w:spacing w:lineRule="auto" w:after="0" w:line="240" w:before="0"/>
            </w:pPr>
            <w:r w:rsidRPr="00000000" w:rsidR="00000000" w:rsidDel="00000000">
              <w:rPr>
                <w:highlight w:val="none"/>
                <w:rtl w:val="0"/>
              </w:rPr>
              <w:t xml:space="preserve">1.</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highlight w:val="none"/>
                <w:rtl w:val="0"/>
              </w:rPr>
              <w:t xml:space="preserve">Equality in education is achieved when the educational outcomes of various demographic groups, as measured by standardized test scores, are equal</w:t>
            </w:r>
          </w:p>
          <w:p w:rsidP="00000000" w:rsidRPr="00000000" w:rsidR="00000000" w:rsidDel="00000000" w:rsidRDefault="00000000">
            <w:pPr>
              <w:spacing w:lineRule="auto" w:after="0" w:line="240" w:before="0"/>
            </w:pPr>
            <w:r w:rsidRPr="00000000" w:rsidR="00000000" w:rsidDel="00000000">
              <w:rPr>
                <w:highlight w:val="none"/>
                <w:rtl w:val="0"/>
              </w:rPr>
              <w:t xml:space="preserve">2.</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highlight w:val="none"/>
                <w:rtl w:val="0"/>
              </w:rPr>
              <w:t xml:space="preserve">The primary value of education is the creation of skilled workers for the American “information” economy</w:t>
            </w:r>
          </w:p>
          <w:p w:rsidP="00000000" w:rsidRPr="00000000" w:rsidR="00000000" w:rsidDel="00000000" w:rsidRDefault="00000000">
            <w:pPr>
              <w:spacing w:lineRule="auto" w:after="0" w:line="240" w:before="0"/>
            </w:pPr>
            <w:r w:rsidRPr="00000000" w:rsidR="00000000" w:rsidDel="00000000">
              <w:rPr>
                <w:highlight w:val="none"/>
                <w:rtl w:val="0"/>
              </w:rPr>
              <w:t xml:space="preserve">3.</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highlight w:val="none"/>
                <w:rtl w:val="0"/>
              </w:rPr>
              <w:t xml:space="preserve">The classroom as a place for intervention and instruction can be treated and evaluated more or less autonomously  </w:t>
            </w:r>
          </w:p>
          <w:p w:rsidP="00000000" w:rsidRPr="00000000" w:rsidR="00000000" w:rsidDel="00000000" w:rsidRDefault="00000000">
            <w:pPr>
              <w:spacing w:lineRule="auto" w:after="0" w:line="240" w:before="0"/>
            </w:pPr>
            <w:r w:rsidRPr="00000000" w:rsidR="00000000" w:rsidDel="00000000">
              <w:rPr>
                <w:highlight w:val="none"/>
                <w:rtl w:val="0"/>
              </w:rPr>
              <w:t xml:space="preserve">4.</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highlight w:val="none"/>
                <w:rtl w:val="0"/>
              </w:rPr>
              <w:t xml:space="preserve">The disciplines of the core curriculum are more or less universally appropriate to American students, and only small, token gestures towards regionalism, diversity, etc. are appropriate</w:t>
            </w:r>
          </w:p>
          <w:p w:rsidP="00000000" w:rsidRPr="00000000" w:rsidR="00000000" w:rsidDel="00000000" w:rsidRDefault="00000000">
            <w:pPr>
              <w:spacing w:lineRule="auto" w:after="0" w:line="240" w:before="0"/>
            </w:pPr>
            <w:r w:rsidRPr="00000000" w:rsidR="00000000" w:rsidDel="00000000">
              <w:rPr>
                <w:highlight w:val="none"/>
                <w:rtl w:val="0"/>
              </w:rPr>
              <w:t xml:space="preserve">5.</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highlight w:val="none"/>
                <w:rtl w:val="0"/>
              </w:rPr>
              <w:t xml:space="preserve">The school should be a depoliticized space</w:t>
            </w:r>
          </w:p>
          <w:p w:rsidP="00000000" w:rsidRPr="00000000" w:rsidR="00000000" w:rsidDel="00000000" w:rsidRDefault="00000000">
            <w:pPr>
              <w:spacing w:lineRule="auto" w:after="0" w:line="240" w:before="0"/>
            </w:pPr>
            <w:r w:rsidRPr="00000000" w:rsidR="00000000" w:rsidDel="00000000">
              <w:rPr>
                <w:highlight w:val="none"/>
                <w:rtl w:val="0"/>
              </w:rPr>
              <w:t xml:space="preserve">6.</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highlight w:val="none"/>
                <w:rtl w:val="0"/>
              </w:rPr>
              <w:t xml:space="preserve">Education is primarily about imparting knowledge and skills to individuals</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I’m apparently into lists today, so:</w:t>
            </w:r>
          </w:p>
          <w:p w:rsidP="00000000" w:rsidRPr="00000000" w:rsidR="00000000" w:rsidDel="00000000" w:rsidRDefault="00000000">
            <w:pPr>
              <w:ind w:left="780" w:firstLine="0"/>
            </w:pPr>
            <w:r w:rsidRPr="00000000" w:rsidR="00000000" w:rsidDel="00000000">
              <w:rPr>
                <w:highlight w:val="none"/>
                <w:rtl w:val="0"/>
              </w:rPr>
              <w:t xml:space="preserve">1.</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highlight w:val="none"/>
                <w:rtl w:val="0"/>
              </w:rPr>
              <w:t xml:space="preserve">Why have these assumptions—with many exceptions and permutations, of course—become so dominant, especially on the “center left,” which has plenty of “progressive” pedagogies (e.g., Dewey) in its history on which to draw? The progressive pedagogies were very influential for decades—why have they lost legitimacy (at least among mainstream education reformers)? How, if at all, did they interact with issues of racial/ethnic diversity, equality, and related issues of social justice?</w:t>
            </w:r>
          </w:p>
          <w:p w:rsidP="00000000" w:rsidRPr="00000000" w:rsidR="00000000" w:rsidDel="00000000" w:rsidRDefault="00000000">
            <w:pPr>
              <w:ind w:left="780" w:firstLine="0"/>
            </w:pPr>
            <w:r w:rsidRPr="00000000" w:rsidR="00000000" w:rsidDel="00000000">
              <w:rPr>
                <w:highlight w:val="none"/>
                <w:rtl w:val="0"/>
              </w:rPr>
              <w:t xml:space="preserve">2.</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highlight w:val="none"/>
                <w:rtl w:val="0"/>
              </w:rPr>
              <w:t xml:space="preserve">Perhaps an interesting exercise would be to look at these assumptions systematically, and look at the explicit and implicit critiques, as well as the “freedom realities,” suggested by the texts. [I’m playing pretty fast an loose with the counterstory analogy: sorry!]</w:t>
            </w:r>
          </w:p>
          <w:p w:rsidP="00000000" w:rsidRPr="00000000" w:rsidR="00000000" w:rsidDel="00000000" w:rsidRDefault="00000000">
            <w:pPr>
              <w:ind w:left="780" w:firstLine="0"/>
            </w:pPr>
            <w:r w:rsidRPr="00000000" w:rsidR="00000000" w:rsidDel="00000000">
              <w:rPr>
                <w:highlight w:val="none"/>
                <w:rtl w:val="0"/>
              </w:rPr>
              <w:t xml:space="preserve">3.</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highlight w:val="none"/>
                <w:rtl w:val="0"/>
              </w:rPr>
              <w:t xml:space="preserve">It could also be interesting to compare what the approaches discussed by Gutstein and Terry do in terms of cultural capital, and perhaps connect this what “equality” should mean (or what role it should play) in terms of education and education’s role in social justice.</w:t>
            </w:r>
            <w:r w:rsidRPr="00000000" w:rsidR="00000000" w:rsidDel="00000000">
              <w:rPr>
                <w:rtl w:val="0"/>
              </w:rPr>
            </w:r>
          </w:p>
          <w:p w:rsidP="00000000" w:rsidRPr="00000000" w:rsidR="00000000" w:rsidDel="00000000" w:rsidRDefault="00000000">
            <w:pPr>
              <w:ind w:left="780" w:firstLin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r>
    </w:tbl>
    <w:p w:rsidP="00000000" w:rsidRPr="00000000" w:rsidR="00000000" w:rsidDel="00000000" w:rsidRDefault="00000000">
      <w:pPr/>
      <w:r w:rsidRPr="00000000" w:rsidR="00000000" w:rsidDel="00000000">
        <w:rPr>
          <w:rtl w:val="0"/>
        </w:rPr>
      </w:r>
    </w:p>
    <w:sectPr>
      <w:pgSz w:w="12240" w:h="15840"/>
      <w:pgMar w:left="89.07216494845359" w:right="282.0618556701031"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Georgia"/>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highlight w:val="none"/>
      <w:u w:val="none"/>
      <w:vertAlign w:val="baseline"/>
    </w:rPr>
  </w:style>
  <w:style w:styleId="Heading1" w:type="paragraph">
    <w:name w:val="heading 1"/>
    <w:basedOn w:val="Normal"/>
    <w:next w:val="Normal"/>
    <w:pPr>
      <w:spacing w:lineRule="auto" w:after="120" w:before="480"/>
    </w:pPr>
    <w:rPr>
      <w:b w:val="1"/>
      <w:sz w:val="36"/>
      <w:highlight w:val="none"/>
    </w:rPr>
  </w:style>
  <w:style w:styleId="Heading2" w:type="paragraph">
    <w:name w:val="heading 2"/>
    <w:basedOn w:val="Normal"/>
    <w:next w:val="Normal"/>
    <w:pPr>
      <w:spacing w:lineRule="auto" w:after="80" w:before="360"/>
    </w:pPr>
    <w:rPr>
      <w:b w:val="1"/>
      <w:sz w:val="28"/>
      <w:highlight w:val="none"/>
    </w:rPr>
  </w:style>
  <w:style w:styleId="Heading3" w:type="paragraph">
    <w:name w:val="heading 3"/>
    <w:basedOn w:val="Normal"/>
    <w:next w:val="Normal"/>
    <w:pPr>
      <w:spacing w:lineRule="auto" w:after="80" w:before="280"/>
    </w:pPr>
    <w:rPr>
      <w:b w:val="1"/>
      <w:color w:val="666666"/>
      <w:sz w:val="24"/>
      <w:highlight w:val="none"/>
    </w:rPr>
  </w:style>
  <w:style w:styleId="Heading4" w:type="paragraph">
    <w:name w:val="heading 4"/>
    <w:basedOn w:val="Normal"/>
    <w:next w:val="Normal"/>
    <w:pPr>
      <w:spacing w:lineRule="auto" w:after="40" w:before="240"/>
    </w:pPr>
    <w:rPr>
      <w:i w:val="1"/>
      <w:color w:val="666666"/>
      <w:sz w:val="22"/>
      <w:highlight w:val="none"/>
    </w:rPr>
  </w:style>
  <w:style w:styleId="Heading5" w:type="paragraph">
    <w:name w:val="heading 5"/>
    <w:basedOn w:val="Normal"/>
    <w:next w:val="Normal"/>
    <w:pPr>
      <w:spacing w:lineRule="auto" w:after="40" w:before="220"/>
    </w:pPr>
    <w:rPr>
      <w:b w:val="1"/>
      <w:color w:val="666666"/>
      <w:sz w:val="20"/>
      <w:highlight w:val="none"/>
    </w:rPr>
  </w:style>
  <w:style w:styleId="Heading6" w:type="paragraph">
    <w:name w:val="heading 6"/>
    <w:basedOn w:val="Normal"/>
    <w:next w:val="Normal"/>
    <w:pPr>
      <w:spacing w:lineRule="auto" w:after="40" w:before="200"/>
    </w:pPr>
    <w:rPr>
      <w:i w:val="1"/>
      <w:color w:val="666666"/>
      <w:sz w:val="20"/>
      <w:highlight w:val="none"/>
    </w:rPr>
  </w:style>
  <w:style w:styleId="Title" w:type="paragraph">
    <w:name w:val="Title"/>
    <w:basedOn w:val="Normal"/>
    <w:next w:val="Normal"/>
    <w:pPr>
      <w:spacing w:lineRule="auto" w:after="120" w:before="480"/>
    </w:pPr>
    <w:rPr>
      <w:b w:val="1"/>
      <w:sz w:val="72"/>
      <w:highlight w:val="none"/>
    </w:rPr>
  </w:style>
  <w:style w:styleId="Subtitle" w:type="paragraph">
    <w:name w:val="Subtitle"/>
    <w:basedOn w:val="Normal"/>
    <w:next w:val="Normal"/>
    <w:pPr>
      <w:spacing w:lineRule="auto" w:after="80" w:before="360"/>
    </w:pPr>
    <w:rPr>
      <w:rFonts w:cs="Georgia" w:hAnsi="Georgia" w:eastAsia="Georgia" w:ascii="Georgia"/>
      <w:i w:val="1"/>
      <w:color w:val="666666"/>
      <w:sz w:val="48"/>
      <w:highlight w:val="none"/>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media/image00.jpg" Type="http://schemas.openxmlformats.org/officeDocument/2006/relationships/image" Id="rId9"/><Relationship Target="http://thesocietypages.org/cyborgology/2012/09/13/revisiting-the-clock-tower-scaling-technology/" Type="http://schemas.openxmlformats.org/officeDocument/2006/relationships/hyperlink" TargetMode="External" Id="rId6"/><Relationship Target="http://blogs.berkeley.edu/2012/10/08/is-the-digital-divide-a-defunct-framework/" Type="http://schemas.openxmlformats.org/officeDocument/2006/relationships/hyperlink" TargetMode="External" Id="rId5"/><Relationship Target="http://www.youtube.com/watch?v=LNfPdaKYOPI" Type="http://schemas.openxmlformats.org/officeDocument/2006/relationships/hyperlink" TargetMode="External" Id="rId8"/><Relationship Target="http://s3.amazonaws.com/texasgop_pre/assets/original/2012Platform_Final.pdf"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RESTS Nov 2.docx</dc:title>
</cp:coreProperties>
</file>